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6" w:rsidRPr="0057184D" w:rsidRDefault="00DB65C6" w:rsidP="00DB65C6">
      <w:pPr>
        <w:spacing w:after="0" w:line="240" w:lineRule="auto"/>
        <w:rPr>
          <w:rFonts w:ascii="Avenir LT Std 65 Medium" w:eastAsia="Times New Roman" w:hAnsi="Avenir LT Std 65 Medium" w:cs="Times New Roman"/>
          <w:color w:val="003366"/>
          <w:sz w:val="44"/>
          <w:szCs w:val="44"/>
        </w:rPr>
      </w:pPr>
      <w:r w:rsidRPr="0057184D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</w:t>
      </w:r>
      <w:r w:rsidR="0027278E" w:rsidRPr="0057184D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Planning &amp; </w:t>
      </w:r>
      <w:r w:rsidRPr="0057184D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Oversight Committee Meeting       </w:t>
      </w:r>
    </w:p>
    <w:p w:rsidR="00DB65C6" w:rsidRPr="0057184D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184D">
        <w:rPr>
          <w:rFonts w:ascii="Calibri" w:eastAsia="Times New Roman" w:hAnsi="Calibri" w:cs="Times New Roman"/>
          <w:color w:val="000000"/>
        </w:rPr>
        <w:t> </w:t>
      </w:r>
    </w:p>
    <w:p w:rsidR="00DB65C6" w:rsidRPr="0057184D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57184D">
        <w:rPr>
          <w:rFonts w:ascii="Calibri" w:eastAsia="Times New Roman" w:hAnsi="Calibri" w:cs="Times New Roman"/>
          <w:color w:val="000000"/>
        </w:rPr>
        <w:t> </w:t>
      </w:r>
    </w:p>
    <w:p w:rsidR="00DB65C6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="004F22CF">
        <w:rPr>
          <w:rFonts w:eastAsia="Times New Roman" w:cs="Times New Roman"/>
          <w:b/>
          <w:color w:val="000000"/>
          <w:sz w:val="24"/>
          <w:szCs w:val="24"/>
        </w:rPr>
        <w:t>September 15</w:t>
      </w:r>
      <w:r w:rsidR="0075283B" w:rsidRPr="0057184D">
        <w:rPr>
          <w:rFonts w:eastAsia="Times New Roman" w:cs="Times New Roman"/>
          <w:b/>
          <w:color w:val="000000"/>
          <w:sz w:val="24"/>
          <w:szCs w:val="24"/>
        </w:rPr>
        <w:t>, 2022</w:t>
      </w:r>
    </w:p>
    <w:p w:rsidR="00D45D38" w:rsidRPr="00F15B4F" w:rsidRDefault="004F22CF" w:rsidP="00D45D38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Effingham Kluthe Center</w:t>
      </w:r>
      <w:r w:rsidR="00D45D38" w:rsidRPr="00F15B4F">
        <w:rPr>
          <w:rFonts w:eastAsia="Times New Roman" w:cs="Times New Roman"/>
          <w:b/>
          <w:color w:val="000000"/>
          <w:sz w:val="24"/>
          <w:szCs w:val="24"/>
        </w:rPr>
        <w:t>▪</w:t>
      </w:r>
      <w:r>
        <w:rPr>
          <w:rFonts w:eastAsia="Times New Roman" w:cs="Times New Roman"/>
          <w:b/>
          <w:color w:val="000000"/>
          <w:sz w:val="24"/>
          <w:szCs w:val="24"/>
        </w:rPr>
        <w:t>1204 Network Centre Blvd</w:t>
      </w:r>
      <w:r w:rsidR="00D45D38" w:rsidRPr="00F15B4F">
        <w:rPr>
          <w:rFonts w:eastAsia="Times New Roman" w:cs="Times New Roman"/>
          <w:b/>
          <w:color w:val="000000"/>
          <w:sz w:val="24"/>
          <w:szCs w:val="24"/>
        </w:rPr>
        <w:t xml:space="preserve"> Effingham 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color w:val="000000"/>
          <w:sz w:val="24"/>
          <w:szCs w:val="24"/>
        </w:rPr>
        <w:t xml:space="preserve">Chair: </w:t>
      </w:r>
      <w:r w:rsidR="0027278E" w:rsidRPr="0057184D">
        <w:rPr>
          <w:rFonts w:eastAsia="Times New Roman" w:cs="Times New Roman"/>
          <w:b/>
          <w:color w:val="000000"/>
          <w:sz w:val="24"/>
          <w:szCs w:val="24"/>
        </w:rPr>
        <w:t>Mike Conrad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color w:val="000000"/>
          <w:sz w:val="24"/>
          <w:szCs w:val="24"/>
        </w:rPr>
        <w:t xml:space="preserve">Vice Chair: </w:t>
      </w:r>
      <w:r w:rsidR="0027278E" w:rsidRPr="0057184D">
        <w:rPr>
          <w:rFonts w:eastAsia="Times New Roman" w:cs="Times New Roman"/>
          <w:b/>
          <w:color w:val="000000"/>
          <w:sz w:val="24"/>
          <w:szCs w:val="24"/>
        </w:rPr>
        <w:t>Chris Strohl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4564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14"/>
      </w:tblGrid>
      <w:tr w:rsidR="00DB65C6" w:rsidRPr="0057184D" w:rsidTr="00A51670">
        <w:trPr>
          <w:trHeight w:val="1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670" w:rsidRPr="0057184D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18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Present:</w:t>
            </w:r>
            <w:r w:rsidR="00E64CB5" w:rsidRPr="0057184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3D1882" w:rsidRPr="0057184D">
              <w:rPr>
                <w:rFonts w:eastAsia="Times New Roman" w:cs="Times New Roman"/>
                <w:sz w:val="24"/>
                <w:szCs w:val="24"/>
              </w:rPr>
              <w:t xml:space="preserve">Casey Burgholzer, </w:t>
            </w:r>
            <w:r w:rsidR="00550D14" w:rsidRPr="0057184D">
              <w:rPr>
                <w:rFonts w:eastAsia="Times New Roman" w:cs="Times New Roman"/>
                <w:sz w:val="24"/>
                <w:szCs w:val="24"/>
              </w:rPr>
              <w:t>Mike Conrad,</w:t>
            </w:r>
            <w:r w:rsidR="00E368AD" w:rsidRPr="0057184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E3650">
              <w:rPr>
                <w:rFonts w:eastAsia="Times New Roman" w:cs="Times New Roman"/>
                <w:sz w:val="24"/>
                <w:szCs w:val="24"/>
              </w:rPr>
              <w:t xml:space="preserve">Joy Fitts for </w:t>
            </w:r>
            <w:r w:rsidR="001C0707">
              <w:rPr>
                <w:rFonts w:eastAsia="Times New Roman" w:cs="Times New Roman"/>
                <w:sz w:val="24"/>
                <w:szCs w:val="24"/>
              </w:rPr>
              <w:t>Julie Obermark</w:t>
            </w:r>
            <w:r w:rsidR="00292691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E021B" w:rsidRPr="0057184D">
              <w:rPr>
                <w:rFonts w:eastAsia="Times New Roman" w:cs="Times New Roman"/>
                <w:sz w:val="24"/>
                <w:szCs w:val="24"/>
              </w:rPr>
              <w:t>C</w:t>
            </w:r>
            <w:r w:rsidR="0027278E" w:rsidRPr="0057184D">
              <w:rPr>
                <w:rFonts w:eastAsia="Times New Roman" w:cs="Times New Roman"/>
                <w:sz w:val="24"/>
                <w:szCs w:val="24"/>
              </w:rPr>
              <w:t>hris Strohl</w:t>
            </w:r>
            <w:r w:rsidR="00627481" w:rsidRPr="0057184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550D14" w:rsidRPr="0057184D">
              <w:rPr>
                <w:rFonts w:eastAsia="Times New Roman" w:cs="Times New Roman"/>
                <w:sz w:val="24"/>
                <w:szCs w:val="24"/>
              </w:rPr>
              <w:t>Carol Tracy</w:t>
            </w:r>
            <w:r w:rsidR="0075283B" w:rsidRPr="0057184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1B1DD0">
              <w:rPr>
                <w:rFonts w:eastAsia="Times New Roman" w:cs="Times New Roman"/>
                <w:sz w:val="24"/>
                <w:szCs w:val="24"/>
              </w:rPr>
              <w:t>Jeff Voigt</w:t>
            </w:r>
          </w:p>
          <w:p w:rsidR="00F4515F" w:rsidRPr="0057184D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57184D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18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Absent:</w:t>
            </w:r>
            <w:r w:rsidR="00E64CB5" w:rsidRPr="005718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C070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 w:rsidRPr="005718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E3650" w:rsidRPr="0057184D">
              <w:rPr>
                <w:rFonts w:eastAsia="Times New Roman" w:cs="Times New Roman"/>
                <w:sz w:val="24"/>
                <w:szCs w:val="24"/>
              </w:rPr>
              <w:t>Kevin Bushur,</w:t>
            </w:r>
            <w:r w:rsidR="009E365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E3650" w:rsidRPr="001C0707">
              <w:rPr>
                <w:rFonts w:eastAsia="Times New Roman" w:cs="Times New Roman"/>
                <w:color w:val="000000"/>
                <w:sz w:val="24"/>
                <w:szCs w:val="24"/>
              </w:rPr>
              <w:t>Kim Taylor,</w:t>
            </w:r>
            <w:r w:rsidR="009E36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9E3650" w:rsidRPr="0057184D">
              <w:rPr>
                <w:rFonts w:eastAsia="Times New Roman" w:cs="Times New Roman"/>
                <w:color w:val="000000"/>
                <w:sz w:val="24"/>
                <w:szCs w:val="24"/>
              </w:rPr>
              <w:t>Connie Waldrop</w:t>
            </w:r>
          </w:p>
          <w:p w:rsidR="00F4515F" w:rsidRPr="0057184D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57184D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7184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Others Present:</w:t>
            </w:r>
          </w:p>
          <w:p w:rsidR="00A51670" w:rsidRPr="0057184D" w:rsidRDefault="00A33395" w:rsidP="009E365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718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Corda Hadjaoui, </w:t>
            </w:r>
            <w:r w:rsidR="00E43A8E" w:rsidRPr="0057184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F4515F" w:rsidRPr="0057184D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57184D" w:rsidRDefault="00DB65C6" w:rsidP="00DB6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65C6" w:rsidRPr="0057184D" w:rsidTr="00A51670">
        <w:trPr>
          <w:trHeight w:val="2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57184D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57184D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5C6" w:rsidRPr="0057184D" w:rsidRDefault="00A51670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DB65C6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072347" w:rsidRPr="0057184D">
        <w:rPr>
          <w:rFonts w:eastAsia="Times New Roman" w:cs="Times New Roman"/>
          <w:color w:val="000000"/>
          <w:sz w:val="24"/>
          <w:szCs w:val="24"/>
        </w:rPr>
        <w:t>regular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 meeting of the LWIA </w:t>
      </w:r>
      <w:r w:rsidR="0027278E" w:rsidRPr="0057184D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B57C0D" w:rsidRPr="0057184D">
        <w:rPr>
          <w:rFonts w:eastAsia="Times New Roman" w:cs="Times New Roman"/>
          <w:color w:val="000000"/>
          <w:sz w:val="24"/>
          <w:szCs w:val="24"/>
        </w:rPr>
        <w:t>&amp;</w:t>
      </w:r>
      <w:r w:rsidR="0027278E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Oversight Committee was called to order at </w:t>
      </w:r>
      <w:r w:rsidR="00292691">
        <w:rPr>
          <w:rFonts w:eastAsia="Times New Roman" w:cs="Times New Roman"/>
          <w:color w:val="000000"/>
          <w:sz w:val="24"/>
          <w:szCs w:val="24"/>
        </w:rPr>
        <w:t>4</w:t>
      </w:r>
      <w:r w:rsidR="00E7383A" w:rsidRPr="0057184D">
        <w:rPr>
          <w:rFonts w:eastAsia="Times New Roman" w:cs="Times New Roman"/>
          <w:color w:val="000000"/>
          <w:sz w:val="24"/>
          <w:szCs w:val="24"/>
        </w:rPr>
        <w:t>:</w:t>
      </w:r>
      <w:r w:rsidR="00292691" w:rsidRPr="009E3650">
        <w:rPr>
          <w:rFonts w:eastAsia="Times New Roman" w:cs="Times New Roman"/>
          <w:color w:val="000000"/>
          <w:sz w:val="24"/>
          <w:szCs w:val="24"/>
        </w:rPr>
        <w:t>3</w:t>
      </w:r>
      <w:r w:rsidR="009E3650" w:rsidRPr="009E3650">
        <w:rPr>
          <w:rFonts w:eastAsia="Times New Roman" w:cs="Times New Roman"/>
          <w:color w:val="000000"/>
          <w:sz w:val="24"/>
          <w:szCs w:val="24"/>
        </w:rPr>
        <w:t>4</w:t>
      </w:r>
      <w:r w:rsidR="00E7383A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on Thursday, </w:t>
      </w:r>
      <w:r w:rsidR="004F22CF">
        <w:rPr>
          <w:rFonts w:eastAsia="Times New Roman" w:cs="Times New Roman"/>
          <w:color w:val="000000"/>
          <w:sz w:val="24"/>
          <w:szCs w:val="24"/>
        </w:rPr>
        <w:t>September 15</w:t>
      </w:r>
      <w:r w:rsidR="0075283B" w:rsidRPr="0057184D">
        <w:rPr>
          <w:rFonts w:eastAsia="Times New Roman" w:cs="Times New Roman"/>
          <w:color w:val="000000"/>
          <w:sz w:val="24"/>
          <w:szCs w:val="24"/>
        </w:rPr>
        <w:t>, 2022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0E021B" w:rsidRPr="0057184D">
        <w:rPr>
          <w:rFonts w:eastAsia="Times New Roman" w:cs="Times New Roman"/>
          <w:color w:val="000000"/>
          <w:sz w:val="24"/>
          <w:szCs w:val="24"/>
        </w:rPr>
        <w:t>Mike Conrad</w:t>
      </w:r>
      <w:r w:rsidR="00E43A8E" w:rsidRPr="0057184D">
        <w:rPr>
          <w:rFonts w:eastAsia="Times New Roman" w:cs="Times New Roman"/>
          <w:color w:val="000000"/>
          <w:sz w:val="24"/>
          <w:szCs w:val="24"/>
        </w:rPr>
        <w:t>.</w:t>
      </w:r>
      <w:r w:rsidR="00E64CB5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3A8E" w:rsidRPr="0057184D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27278E" w:rsidRPr="0057184D">
        <w:rPr>
          <w:rFonts w:eastAsia="Times New Roman" w:cs="Times New Roman"/>
          <w:color w:val="000000"/>
          <w:sz w:val="24"/>
          <w:szCs w:val="24"/>
        </w:rPr>
        <w:t>Debbie Whitacre.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57184D" w:rsidRDefault="0027278E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M</w:t>
      </w:r>
      <w:r w:rsidR="00DB65C6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eeting Minutes Approval: </w:t>
      </w:r>
    </w:p>
    <w:p w:rsidR="00E12513" w:rsidRPr="00A51670" w:rsidRDefault="009E3650" w:rsidP="00E1251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E3650">
        <w:rPr>
          <w:rFonts w:eastAsia="Times New Roman" w:cs="Times New Roman"/>
          <w:color w:val="000000"/>
          <w:sz w:val="24"/>
          <w:szCs w:val="24"/>
        </w:rPr>
        <w:t>Casey Burgholzer</w:t>
      </w:r>
      <w:r w:rsidR="000F33B8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9097C" w:rsidRPr="0057184D">
        <w:rPr>
          <w:rFonts w:eastAsia="Times New Roman" w:cs="Times New Roman"/>
          <w:color w:val="000000"/>
          <w:sz w:val="24"/>
          <w:szCs w:val="24"/>
        </w:rPr>
        <w:t xml:space="preserve">made a motion to approve.  </w:t>
      </w:r>
      <w:r>
        <w:rPr>
          <w:rFonts w:eastAsia="Times New Roman" w:cs="Times New Roman"/>
          <w:color w:val="000000"/>
          <w:sz w:val="24"/>
          <w:szCs w:val="24"/>
        </w:rPr>
        <w:t xml:space="preserve">Chris Strohl 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>seconded.</w:t>
      </w:r>
      <w:r w:rsidR="00BD46A6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2513" w:rsidRPr="00A51670">
        <w:rPr>
          <w:rFonts w:eastAsia="Times New Roman" w:cs="Times New Roman"/>
          <w:color w:val="000000"/>
          <w:sz w:val="24"/>
          <w:szCs w:val="24"/>
        </w:rPr>
        <w:t xml:space="preserve">Voice vote was unanimous, motion carried. 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57184D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81E3F" w:rsidRPr="0057184D" w:rsidRDefault="000E021B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>Mike Conrad</w:t>
      </w:r>
      <w:r w:rsidR="00B57C0D" w:rsidRPr="0057184D">
        <w:rPr>
          <w:rFonts w:eastAsia="Times New Roman" w:cs="Times New Roman"/>
          <w:color w:val="000000"/>
          <w:sz w:val="24"/>
          <w:szCs w:val="24"/>
        </w:rPr>
        <w:t xml:space="preserve"> asked if there were any conflicts of interest before moving forward.  </w:t>
      </w:r>
      <w:r w:rsidR="00181E3F" w:rsidRPr="0057184D">
        <w:rPr>
          <w:rFonts w:eastAsia="Times New Roman" w:cs="Times New Roman"/>
          <w:color w:val="000000"/>
          <w:sz w:val="24"/>
          <w:szCs w:val="24"/>
        </w:rPr>
        <w:t>There were none.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57184D" w:rsidRDefault="00DB65C6" w:rsidP="00507F85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Grant Recipient/Fiscal Agent Reports</w:t>
      </w:r>
    </w:p>
    <w:p w:rsidR="00DB65C6" w:rsidRPr="0057184D" w:rsidRDefault="003F39EA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0000"/>
          <w:sz w:val="24"/>
          <w:szCs w:val="24"/>
        </w:rPr>
        <w:t>Debbie Whitacre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 xml:space="preserve"> reported the following: </w:t>
      </w:r>
    </w:p>
    <w:p w:rsidR="00CA705D" w:rsidRPr="00714824" w:rsidRDefault="00DB65C6" w:rsidP="00CA705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LLC </w:t>
      </w:r>
      <w:r w:rsidR="00C055D9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>S</w:t>
      </w:r>
      <w:r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>tatement of Expenditures through</w:t>
      </w:r>
      <w:r w:rsidR="00E84B22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F22CF">
        <w:rPr>
          <w:rFonts w:eastAsia="Times New Roman" w:cs="Times New Roman"/>
          <w:b/>
          <w:color w:val="000000"/>
          <w:sz w:val="24"/>
          <w:szCs w:val="24"/>
          <w:u w:val="single"/>
        </w:rPr>
        <w:t>June</w:t>
      </w:r>
      <w:r w:rsidR="009C2EBD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2022</w:t>
      </w:r>
      <w:r w:rsidR="004F22CF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(PY21)</w:t>
      </w:r>
      <w:r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368AD" w:rsidRPr="0057184D"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3F39EA" w:rsidRPr="0057184D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4F22CF">
        <w:rPr>
          <w:rFonts w:eastAsia="Times New Roman" w:cs="Times New Roman"/>
          <w:color w:val="000000"/>
          <w:sz w:val="24"/>
          <w:szCs w:val="24"/>
        </w:rPr>
        <w:t>ended the year as of June 30</w:t>
      </w:r>
      <w:r w:rsidR="004F22CF" w:rsidRPr="007B7C36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4F22CF">
        <w:rPr>
          <w:rFonts w:eastAsia="Times New Roman" w:cs="Times New Roman"/>
          <w:color w:val="000000"/>
          <w:sz w:val="24"/>
          <w:szCs w:val="24"/>
        </w:rPr>
        <w:t xml:space="preserve"> at 91.3% </w:t>
      </w:r>
      <w:r w:rsidR="004F22CF" w:rsidRPr="00E84B22">
        <w:rPr>
          <w:rFonts w:eastAsia="Times New Roman" w:cs="Times New Roman"/>
          <w:color w:val="000000"/>
          <w:sz w:val="24"/>
          <w:szCs w:val="24"/>
        </w:rPr>
        <w:t>of the budget</w:t>
      </w:r>
      <w:r w:rsidR="004F22CF">
        <w:rPr>
          <w:rFonts w:eastAsia="Times New Roman" w:cs="Times New Roman"/>
          <w:color w:val="000000"/>
          <w:sz w:val="24"/>
          <w:szCs w:val="24"/>
        </w:rPr>
        <w:t xml:space="preserve"> and the Apprenticeship grant had spent 14.1% of </w:t>
      </w:r>
      <w:r w:rsidR="00234E8E">
        <w:rPr>
          <w:rFonts w:eastAsia="Times New Roman" w:cs="Times New Roman"/>
          <w:color w:val="000000"/>
          <w:sz w:val="24"/>
          <w:szCs w:val="24"/>
        </w:rPr>
        <w:t>its</w:t>
      </w:r>
      <w:r w:rsidR="004F22CF">
        <w:rPr>
          <w:rFonts w:eastAsia="Times New Roman" w:cs="Times New Roman"/>
          <w:color w:val="000000"/>
          <w:sz w:val="24"/>
          <w:szCs w:val="24"/>
        </w:rPr>
        <w:t xml:space="preserve"> budget thru June 30.</w:t>
      </w:r>
    </w:p>
    <w:p w:rsidR="00F4515F" w:rsidRPr="00CA705D" w:rsidRDefault="00F4515F" w:rsidP="00CA705D">
      <w:p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CA705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</w:t>
      </w:r>
    </w:p>
    <w:p w:rsidR="00F4515F" w:rsidRDefault="00234E8E" w:rsidP="00E64C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June</w:t>
      </w:r>
      <w:r w:rsidR="00073BC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2022</w:t>
      </w:r>
      <w:r w:rsidR="00A86650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15F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>–</w:t>
      </w:r>
      <w:r w:rsidR="00B57C0D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August</w:t>
      </w:r>
      <w:r w:rsidR="00073BC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C2EBD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>2022</w:t>
      </w:r>
      <w:r w:rsidR="00F4515F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65C6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>AP Report</w:t>
      </w:r>
      <w:r w:rsidR="00182E61" w:rsidRPr="0057184D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57184D">
        <w:rPr>
          <w:rFonts w:eastAsia="Times New Roman" w:cs="Times New Roman"/>
          <w:color w:val="000000"/>
          <w:sz w:val="24"/>
          <w:szCs w:val="24"/>
        </w:rPr>
        <w:t xml:space="preserve"> All expenditures were allowable </w:t>
      </w:r>
      <w:r w:rsidR="000F2065" w:rsidRPr="0057184D">
        <w:rPr>
          <w:rFonts w:eastAsia="Times New Roman" w:cs="Times New Roman"/>
          <w:color w:val="000000"/>
          <w:sz w:val="24"/>
          <w:szCs w:val="24"/>
        </w:rPr>
        <w:t xml:space="preserve">and necessary.  </w:t>
      </w:r>
      <w:r w:rsidR="00714824">
        <w:rPr>
          <w:rFonts w:eastAsia="Times New Roman" w:cs="Times New Roman"/>
          <w:color w:val="000000"/>
          <w:sz w:val="24"/>
          <w:szCs w:val="24"/>
        </w:rPr>
        <w:t xml:space="preserve">Several Incumbent Worker projects were paid as </w:t>
      </w:r>
      <w:r w:rsidR="009E3650">
        <w:rPr>
          <w:rFonts w:eastAsia="Times New Roman" w:cs="Times New Roman"/>
          <w:color w:val="000000"/>
          <w:sz w:val="24"/>
          <w:szCs w:val="24"/>
        </w:rPr>
        <w:t xml:space="preserve">well as </w:t>
      </w:r>
      <w:r w:rsidR="00714824">
        <w:rPr>
          <w:rFonts w:eastAsia="Times New Roman" w:cs="Times New Roman"/>
          <w:color w:val="000000"/>
          <w:sz w:val="24"/>
          <w:szCs w:val="24"/>
        </w:rPr>
        <w:t>we</w:t>
      </w:r>
      <w:r>
        <w:rPr>
          <w:rFonts w:eastAsia="Times New Roman" w:cs="Times New Roman"/>
          <w:color w:val="000000"/>
          <w:sz w:val="24"/>
          <w:szCs w:val="24"/>
        </w:rPr>
        <w:t xml:space="preserve"> started paying </w:t>
      </w:r>
      <w:r w:rsidR="009E3650">
        <w:rPr>
          <w:rFonts w:eastAsia="Times New Roman" w:cs="Times New Roman"/>
          <w:color w:val="000000"/>
          <w:sz w:val="24"/>
          <w:szCs w:val="24"/>
        </w:rPr>
        <w:t xml:space="preserve">this fiscal year’s </w:t>
      </w:r>
      <w:r>
        <w:rPr>
          <w:rFonts w:eastAsia="Times New Roman" w:cs="Times New Roman"/>
          <w:color w:val="000000"/>
          <w:sz w:val="24"/>
          <w:szCs w:val="24"/>
        </w:rPr>
        <w:t>LLC Admin charges in July</w:t>
      </w:r>
      <w:r w:rsidR="00714824">
        <w:rPr>
          <w:rFonts w:eastAsia="Times New Roman" w:cs="Times New Roman"/>
          <w:color w:val="000000"/>
          <w:sz w:val="24"/>
          <w:szCs w:val="24"/>
        </w:rPr>
        <w:t>.</w:t>
      </w:r>
      <w:r w:rsidR="00DC28BD" w:rsidRPr="0057184D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9C2EBD" w:rsidRPr="0057184D" w:rsidRDefault="009C2EBD" w:rsidP="002A4E7D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234E8E" w:rsidRPr="009E3650" w:rsidRDefault="00234E8E" w:rsidP="00D04289">
      <w:pPr>
        <w:pStyle w:val="ListParagraph"/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9E3650">
        <w:rPr>
          <w:rFonts w:eastAsia="Times New Roman" w:cs="Times New Roman"/>
          <w:b/>
          <w:color w:val="000000"/>
          <w:sz w:val="24"/>
          <w:szCs w:val="24"/>
          <w:u w:val="single"/>
        </w:rPr>
        <w:lastRenderedPageBreak/>
        <w:t>June</w:t>
      </w:r>
      <w:r w:rsidR="009C2EBD" w:rsidRPr="009E365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2022</w:t>
      </w:r>
      <w:r w:rsidR="00DB65C6" w:rsidRPr="009E365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9E365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(PY21) </w:t>
      </w:r>
      <w:r w:rsidR="00DB65C6" w:rsidRPr="009E3650">
        <w:rPr>
          <w:rFonts w:eastAsia="Times New Roman" w:cs="Times New Roman"/>
          <w:b/>
          <w:color w:val="000000"/>
          <w:sz w:val="24"/>
          <w:szCs w:val="24"/>
          <w:u w:val="single"/>
        </w:rPr>
        <w:t>Key Metrics Report</w:t>
      </w:r>
      <w:r w:rsidR="00DB65C6" w:rsidRPr="009E365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9E3650">
        <w:rPr>
          <w:rFonts w:eastAsia="Times New Roman" w:cs="Times New Roman"/>
          <w:color w:val="000000"/>
          <w:sz w:val="24"/>
          <w:szCs w:val="24"/>
        </w:rPr>
        <w:t>–</w:t>
      </w:r>
      <w:r w:rsidR="00E64CB5" w:rsidRPr="009E365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0E0FD1" w:rsidRPr="009E3650">
        <w:rPr>
          <w:rFonts w:eastAsia="Times New Roman" w:cs="Times New Roman"/>
          <w:color w:val="000000"/>
          <w:sz w:val="24"/>
          <w:szCs w:val="24"/>
        </w:rPr>
        <w:t>Debbie d</w:t>
      </w:r>
      <w:r w:rsidR="000F2065" w:rsidRPr="009E3650">
        <w:rPr>
          <w:rFonts w:eastAsia="Times New Roman" w:cs="Times New Roman"/>
          <w:color w:val="000000"/>
          <w:sz w:val="24"/>
          <w:szCs w:val="24"/>
        </w:rPr>
        <w:t>iscussed the key metrics report.</w:t>
      </w:r>
      <w:r w:rsidR="000F33B8" w:rsidRPr="009E3650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9E3650" w:rsidRPr="009E3650">
        <w:rPr>
          <w:rFonts w:eastAsia="Times New Roman" w:cs="Times New Roman"/>
          <w:color w:val="000000"/>
          <w:sz w:val="24"/>
          <w:szCs w:val="24"/>
        </w:rPr>
        <w:t>The obligation metrics for the second year of the 20-681023 grant were all met as well as the first year of the 21-681023 grant.  We will be keeping a close eye on the 21-681023 obligations over the next several months as we don’t have as many dislocated worker participants so may need to transfer money to Adult via a grant modification.  Direct Training expenses as well as the 20-681023 youth requirements were met.  Due to the urgency to spend Youth funds in PY21, we do not anticipate meeting the 21-681023 Youth 50% Out-of-School standard; however, we do plan to still meet the 20% work experience standard for this grant.</w:t>
      </w:r>
    </w:p>
    <w:p w:rsidR="00234E8E" w:rsidRPr="00234E8E" w:rsidRDefault="00234E8E" w:rsidP="00234E8E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B57C0D" w:rsidRPr="0057184D" w:rsidRDefault="00234E8E" w:rsidP="000E0FD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June</w:t>
      </w:r>
      <w:r w:rsidR="009C2EBD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2022</w:t>
      </w:r>
      <w:r w:rsidR="00DB65C6"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Training vs Overhead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4515F" w:rsidRPr="0057184D">
        <w:rPr>
          <w:rFonts w:eastAsia="Times New Roman" w:cs="Times New Roman"/>
          <w:color w:val="000000"/>
          <w:sz w:val="24"/>
          <w:szCs w:val="24"/>
        </w:rPr>
        <w:t>–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4CB5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2ECB" w:rsidRPr="0057184D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>
        <w:rPr>
          <w:rFonts w:eastAsia="Times New Roman" w:cs="Times New Roman"/>
          <w:color w:val="000000"/>
          <w:sz w:val="24"/>
          <w:szCs w:val="24"/>
        </w:rPr>
        <w:t xml:space="preserve">ended the year at </w:t>
      </w:r>
      <w:r w:rsidR="009C2EBD" w:rsidRPr="0057184D">
        <w:rPr>
          <w:rFonts w:eastAsia="Times New Roman" w:cs="Times New Roman"/>
          <w:color w:val="000000"/>
          <w:sz w:val="24"/>
          <w:szCs w:val="24"/>
        </w:rPr>
        <w:t>6</w:t>
      </w:r>
      <w:r w:rsidR="00073BCD">
        <w:rPr>
          <w:rFonts w:eastAsia="Times New Roman" w:cs="Times New Roman"/>
          <w:color w:val="000000"/>
          <w:sz w:val="24"/>
          <w:szCs w:val="24"/>
        </w:rPr>
        <w:t>3</w:t>
      </w:r>
      <w:r w:rsidR="008B03D7" w:rsidRPr="0057184D">
        <w:rPr>
          <w:rFonts w:eastAsia="Times New Roman" w:cs="Times New Roman"/>
          <w:color w:val="000000"/>
          <w:sz w:val="24"/>
          <w:szCs w:val="24"/>
        </w:rPr>
        <w:t>%</w:t>
      </w:r>
      <w:r w:rsidR="000E0FD1" w:rsidRPr="0057184D"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507F85" w:rsidRPr="0057184D">
        <w:rPr>
          <w:rFonts w:eastAsia="Times New Roman" w:cs="Times New Roman"/>
          <w:color w:val="000000"/>
          <w:sz w:val="24"/>
          <w:szCs w:val="24"/>
        </w:rPr>
        <w:t>T</w:t>
      </w:r>
      <w:r w:rsidR="00E64CB5" w:rsidRPr="0057184D">
        <w:rPr>
          <w:rFonts w:eastAsia="Times New Roman" w:cs="Times New Roman"/>
          <w:color w:val="000000"/>
          <w:sz w:val="24"/>
          <w:szCs w:val="24"/>
        </w:rPr>
        <w:t>he State has a threshold of 50%.</w:t>
      </w:r>
    </w:p>
    <w:p w:rsidR="00073BCD" w:rsidRPr="0057184D" w:rsidRDefault="00073BCD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234E8E" w:rsidRPr="00B54840" w:rsidRDefault="00234E8E" w:rsidP="004172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B54840">
        <w:rPr>
          <w:rFonts w:eastAsia="Times New Roman" w:cs="Times New Roman"/>
          <w:b/>
          <w:color w:val="000000"/>
          <w:sz w:val="24"/>
          <w:szCs w:val="24"/>
          <w:u w:val="single"/>
        </w:rPr>
        <w:t>Service Provider (CEFS) Contract Budget</w:t>
      </w:r>
      <w:r w:rsidRPr="00B54840">
        <w:rPr>
          <w:rFonts w:eastAsia="Times New Roman" w:cs="Times New Roman"/>
          <w:color w:val="000000"/>
          <w:sz w:val="24"/>
          <w:szCs w:val="24"/>
        </w:rPr>
        <w:t xml:space="preserve"> –  Debbie </w:t>
      </w:r>
      <w:r w:rsidR="00B54840" w:rsidRPr="00B54840">
        <w:rPr>
          <w:rFonts w:eastAsia="Times New Roman" w:cs="Times New Roman"/>
          <w:color w:val="000000"/>
          <w:sz w:val="24"/>
          <w:szCs w:val="24"/>
        </w:rPr>
        <w:t>pointed out that this year’s contract is almost $600,000 less than the previous year due to less carry-forward funds and the reduced allocation amounts that were seen almost statewide.  There will be a new Trade grant as of October 1</w:t>
      </w:r>
      <w:r w:rsidR="00B54840" w:rsidRPr="00B54840">
        <w:rPr>
          <w:rFonts w:eastAsia="Times New Roman" w:cs="Times New Roman"/>
          <w:color w:val="000000"/>
          <w:sz w:val="24"/>
          <w:szCs w:val="24"/>
          <w:vertAlign w:val="superscript"/>
        </w:rPr>
        <w:t>st</w:t>
      </w:r>
      <w:r w:rsidR="00B54840" w:rsidRPr="00B54840">
        <w:rPr>
          <w:rFonts w:eastAsia="Times New Roman" w:cs="Times New Roman"/>
          <w:color w:val="000000"/>
          <w:sz w:val="24"/>
          <w:szCs w:val="24"/>
        </w:rPr>
        <w:t>; however, the Trade Act has not been renewed at this point so no new Trade events will be receiving these funds, only current ongoing events and customers.</w:t>
      </w:r>
    </w:p>
    <w:p w:rsidR="00234E8E" w:rsidRPr="0057184D" w:rsidRDefault="00234E8E" w:rsidP="00234E8E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E368AD" w:rsidRDefault="00F4515F" w:rsidP="002908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color w:val="000000"/>
          <w:sz w:val="24"/>
          <w:szCs w:val="24"/>
          <w:u w:val="single"/>
        </w:rPr>
        <w:t>MOU Billings / Receipts Report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57184D">
        <w:rPr>
          <w:rFonts w:eastAsia="Times New Roman" w:cs="Times New Roman"/>
          <w:color w:val="000000"/>
          <w:sz w:val="24"/>
          <w:szCs w:val="24"/>
        </w:rPr>
        <w:t xml:space="preserve">The Board </w:t>
      </w:r>
      <w:r w:rsidR="00F679E0" w:rsidRPr="0057184D">
        <w:rPr>
          <w:rFonts w:eastAsia="Times New Roman" w:cs="Times New Roman"/>
          <w:color w:val="000000"/>
          <w:sz w:val="24"/>
          <w:szCs w:val="24"/>
        </w:rPr>
        <w:t>invoices</w:t>
      </w:r>
      <w:r w:rsidR="00B5452C" w:rsidRPr="0057184D">
        <w:rPr>
          <w:rFonts w:eastAsia="Times New Roman" w:cs="Times New Roman"/>
          <w:color w:val="000000"/>
          <w:sz w:val="24"/>
          <w:szCs w:val="24"/>
        </w:rPr>
        <w:t xml:space="preserve"> all partners for the D&amp;O Insurance.</w:t>
      </w:r>
      <w:r w:rsidR="003E7183" w:rsidRPr="0057184D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CA15DE" w:rsidRPr="0057184D">
        <w:rPr>
          <w:rFonts w:eastAsia="Times New Roman" w:cs="Times New Roman"/>
          <w:color w:val="000000"/>
          <w:sz w:val="24"/>
          <w:szCs w:val="24"/>
        </w:rPr>
        <w:t xml:space="preserve">In </w:t>
      </w:r>
      <w:r w:rsidR="008B03D7" w:rsidRPr="0057184D">
        <w:rPr>
          <w:rFonts w:eastAsia="Times New Roman" w:cs="Times New Roman"/>
          <w:color w:val="000000"/>
          <w:sz w:val="24"/>
          <w:szCs w:val="24"/>
        </w:rPr>
        <w:t>late November,</w:t>
      </w:r>
      <w:r w:rsidR="00CA15DE" w:rsidRPr="0057184D">
        <w:rPr>
          <w:rFonts w:eastAsia="Times New Roman" w:cs="Times New Roman"/>
          <w:color w:val="000000"/>
          <w:sz w:val="24"/>
          <w:szCs w:val="24"/>
        </w:rPr>
        <w:t xml:space="preserve"> we </w:t>
      </w:r>
      <w:r w:rsidR="008B03D7" w:rsidRPr="0057184D">
        <w:rPr>
          <w:rFonts w:eastAsia="Times New Roman" w:cs="Times New Roman"/>
          <w:color w:val="000000"/>
          <w:sz w:val="24"/>
          <w:szCs w:val="24"/>
        </w:rPr>
        <w:t>billed out for the PY21 invoices</w:t>
      </w:r>
      <w:r w:rsidR="00CA15DE" w:rsidRPr="0057184D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50E2D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34E8E">
        <w:rPr>
          <w:rFonts w:eastAsia="Times New Roman" w:cs="Times New Roman"/>
          <w:color w:val="000000"/>
          <w:sz w:val="24"/>
          <w:szCs w:val="24"/>
        </w:rPr>
        <w:t>We received the final payment in June.</w:t>
      </w:r>
    </w:p>
    <w:p w:rsidR="000E021B" w:rsidRPr="0057184D" w:rsidRDefault="000E021B" w:rsidP="000E021B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234E8E" w:rsidRPr="00B54840" w:rsidRDefault="00DB65C6" w:rsidP="00C6461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B54840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Incumbent Worker </w:t>
      </w:r>
      <w:r w:rsidR="00B57C0D" w:rsidRPr="00B54840">
        <w:rPr>
          <w:rFonts w:eastAsia="Times New Roman" w:cs="Times New Roman"/>
          <w:b/>
          <w:color w:val="000000"/>
          <w:sz w:val="24"/>
          <w:szCs w:val="24"/>
          <w:u w:val="single"/>
        </w:rPr>
        <w:t>Projects Report</w:t>
      </w:r>
      <w:r w:rsidRPr="00B5484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82E61" w:rsidRPr="00B54840">
        <w:rPr>
          <w:rFonts w:eastAsia="Times New Roman" w:cs="Times New Roman"/>
          <w:color w:val="000000"/>
          <w:sz w:val="24"/>
          <w:szCs w:val="24"/>
        </w:rPr>
        <w:t>–</w:t>
      </w:r>
      <w:r w:rsidRPr="00B5484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B5484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A4E7D" w:rsidRPr="00B54840">
        <w:rPr>
          <w:rFonts w:eastAsia="Times New Roman" w:cs="Times New Roman"/>
          <w:color w:val="000000"/>
          <w:sz w:val="24"/>
          <w:szCs w:val="24"/>
        </w:rPr>
        <w:t xml:space="preserve">Debbie </w:t>
      </w:r>
      <w:r w:rsidR="00CA15DE" w:rsidRPr="00B54840">
        <w:rPr>
          <w:rFonts w:eastAsia="Times New Roman" w:cs="Times New Roman"/>
          <w:color w:val="000000"/>
          <w:sz w:val="24"/>
          <w:szCs w:val="24"/>
        </w:rPr>
        <w:t>reviewed the PY2</w:t>
      </w:r>
      <w:r w:rsidR="008B03D7" w:rsidRPr="00B54840">
        <w:rPr>
          <w:rFonts w:eastAsia="Times New Roman" w:cs="Times New Roman"/>
          <w:color w:val="000000"/>
          <w:sz w:val="24"/>
          <w:szCs w:val="24"/>
        </w:rPr>
        <w:t xml:space="preserve">1 </w:t>
      </w:r>
      <w:r w:rsidR="00CA15DE" w:rsidRPr="00B54840">
        <w:rPr>
          <w:rFonts w:eastAsia="Times New Roman" w:cs="Times New Roman"/>
          <w:color w:val="000000"/>
          <w:sz w:val="24"/>
          <w:szCs w:val="24"/>
        </w:rPr>
        <w:t xml:space="preserve">projects </w:t>
      </w:r>
      <w:r w:rsidR="00234E8E" w:rsidRPr="00B54840">
        <w:rPr>
          <w:rFonts w:eastAsia="Times New Roman" w:cs="Times New Roman"/>
          <w:color w:val="000000"/>
          <w:sz w:val="24"/>
          <w:szCs w:val="24"/>
        </w:rPr>
        <w:t xml:space="preserve">and the current PY22 projects. </w:t>
      </w:r>
      <w:r w:rsidR="00B54840" w:rsidRPr="00B54840">
        <w:rPr>
          <w:rFonts w:eastAsia="Times New Roman" w:cs="Times New Roman"/>
          <w:color w:val="000000"/>
          <w:sz w:val="24"/>
          <w:szCs w:val="24"/>
        </w:rPr>
        <w:t>For PY21, we spent over $67,000 in IWT projects and all of it came out of the 20-681023 grant leaving the full $60,000 allotment from the 21-681023 to be spent this year.  At this time, we have committed projects of over $83,000.</w:t>
      </w:r>
    </w:p>
    <w:p w:rsidR="007942E6" w:rsidRDefault="007942E6" w:rsidP="007942E6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6A6A5A" w:rsidRPr="00234E8E" w:rsidRDefault="00234E8E" w:rsidP="00564B4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234E8E">
        <w:rPr>
          <w:rFonts w:eastAsia="Times New Roman" w:cs="Times New Roman"/>
          <w:b/>
          <w:color w:val="000000"/>
          <w:sz w:val="24"/>
          <w:szCs w:val="24"/>
          <w:u w:val="single"/>
        </w:rPr>
        <w:t>Lake Land Annual Audit</w:t>
      </w:r>
      <w:r w:rsidR="006A6A5A" w:rsidRPr="00234E8E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="006A6A5A" w:rsidRPr="00234E8E">
        <w:rPr>
          <w:rFonts w:eastAsia="Times New Roman" w:cs="Times New Roman"/>
          <w:color w:val="000000"/>
          <w:sz w:val="24"/>
          <w:szCs w:val="24"/>
        </w:rPr>
        <w:t xml:space="preserve">–  </w:t>
      </w:r>
      <w:r w:rsidRPr="00234E8E">
        <w:rPr>
          <w:rFonts w:eastAsia="Times New Roman" w:cs="Times New Roman"/>
          <w:color w:val="000000"/>
          <w:sz w:val="24"/>
          <w:szCs w:val="24"/>
        </w:rPr>
        <w:t xml:space="preserve">LLC starts their annual audit process in </w:t>
      </w:r>
      <w:r w:rsidR="00B54840">
        <w:rPr>
          <w:rFonts w:eastAsia="Times New Roman" w:cs="Times New Roman"/>
          <w:color w:val="000000"/>
          <w:sz w:val="24"/>
          <w:szCs w:val="24"/>
        </w:rPr>
        <w:t xml:space="preserve">late </w:t>
      </w:r>
      <w:r w:rsidRPr="00234E8E">
        <w:rPr>
          <w:rFonts w:eastAsia="Times New Roman" w:cs="Times New Roman"/>
          <w:color w:val="000000"/>
          <w:sz w:val="24"/>
          <w:szCs w:val="24"/>
        </w:rPr>
        <w:t xml:space="preserve">July or </w:t>
      </w:r>
      <w:r w:rsidR="00B54840">
        <w:rPr>
          <w:rFonts w:eastAsia="Times New Roman" w:cs="Times New Roman"/>
          <w:color w:val="000000"/>
          <w:sz w:val="24"/>
          <w:szCs w:val="24"/>
        </w:rPr>
        <w:t xml:space="preserve">early </w:t>
      </w:r>
      <w:r w:rsidRPr="00234E8E">
        <w:rPr>
          <w:rFonts w:eastAsia="Times New Roman" w:cs="Times New Roman"/>
          <w:color w:val="000000"/>
          <w:sz w:val="24"/>
          <w:szCs w:val="24"/>
        </w:rPr>
        <w:t>August of every year.  We provided the information requested and we should receive the results in October or November.</w:t>
      </w:r>
    </w:p>
    <w:p w:rsidR="00CA15DE" w:rsidRPr="0057184D" w:rsidRDefault="00CA15DE" w:rsidP="00CA15DE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DB65C6" w:rsidRPr="0057184D" w:rsidRDefault="00DB65C6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Fiscal Agent Report as Presented </w:t>
      </w:r>
    </w:p>
    <w:p w:rsidR="00DB65C6" w:rsidRPr="0057184D" w:rsidRDefault="00B54840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54840">
        <w:rPr>
          <w:rFonts w:eastAsia="Times New Roman" w:cs="Times New Roman"/>
          <w:color w:val="000000"/>
          <w:sz w:val="24"/>
          <w:szCs w:val="24"/>
        </w:rPr>
        <w:t>Chris Strohl</w:t>
      </w:r>
      <w:r w:rsidR="004352D6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>made the motion to approve the reports,</w:t>
      </w:r>
      <w:r w:rsidR="00F161BD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Casey Burgholzer</w:t>
      </w:r>
      <w:r w:rsidR="002B58E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>seconded.</w:t>
      </w:r>
      <w:r w:rsidR="001C2A05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1286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C2A05" w:rsidRPr="0057184D">
        <w:rPr>
          <w:rFonts w:eastAsia="Times New Roman" w:cs="Times New Roman"/>
          <w:color w:val="000000"/>
          <w:sz w:val="24"/>
          <w:szCs w:val="24"/>
        </w:rPr>
        <w:t xml:space="preserve">Roll call. </w:t>
      </w:r>
      <w:r w:rsidR="00DB65C6" w:rsidRPr="0057184D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507F85" w:rsidRPr="0057184D" w:rsidRDefault="00507F85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F5C9F" w:rsidRPr="0057184D" w:rsidRDefault="00F161BD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PY21</w:t>
      </w:r>
      <w:r w:rsidR="00A56992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LWIA 23</w:t>
      </w:r>
      <w:r w:rsidR="003F5C9F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Performance Report</w:t>
      </w:r>
    </w:p>
    <w:p w:rsidR="007942E6" w:rsidRDefault="00B54840" w:rsidP="00EA48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Tony Logue</w:t>
      </w:r>
      <w:r w:rsidR="00B639B6" w:rsidRPr="0057184D">
        <w:rPr>
          <w:sz w:val="24"/>
          <w:szCs w:val="24"/>
        </w:rPr>
        <w:t xml:space="preserve"> reported </w:t>
      </w:r>
      <w:r>
        <w:rPr>
          <w:sz w:val="24"/>
          <w:szCs w:val="24"/>
        </w:rPr>
        <w:t xml:space="preserve">on behalf of Laurie Jennings and reviewed that as of the end of the program year, we had exceeded or met all performance measures.  As background, Tony explained that these </w:t>
      </w:r>
      <w:r w:rsidR="003D615F">
        <w:rPr>
          <w:sz w:val="24"/>
          <w:szCs w:val="24"/>
        </w:rPr>
        <w:t xml:space="preserve">measures </w:t>
      </w:r>
      <w:bookmarkStart w:id="0" w:name="_GoBack"/>
      <w:bookmarkEnd w:id="0"/>
      <w:r>
        <w:rPr>
          <w:sz w:val="24"/>
          <w:szCs w:val="24"/>
        </w:rPr>
        <w:t>used to help determine how much incentive money was awarded to an area but those funds went away several years ago.  W</w:t>
      </w:r>
      <w:r w:rsidR="001B1DD0">
        <w:rPr>
          <w:sz w:val="24"/>
          <w:szCs w:val="24"/>
        </w:rPr>
        <w:t>e do still have to negotiate these percentages each year with DCEO and that is coming up in the next several weeks.</w:t>
      </w:r>
      <w:r>
        <w:rPr>
          <w:sz w:val="24"/>
          <w:szCs w:val="24"/>
        </w:rPr>
        <w:t xml:space="preserve"> </w:t>
      </w:r>
    </w:p>
    <w:p w:rsidR="00F4515F" w:rsidRPr="0057184D" w:rsidRDefault="003F5C9F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P</w:t>
      </w:r>
      <w:r w:rsidR="00DB65C6" w:rsidRPr="0057184D">
        <w:rPr>
          <w:rFonts w:eastAsia="Times New Roman" w:cs="Times New Roman"/>
          <w:b/>
          <w:bCs/>
          <w:color w:val="003366"/>
          <w:sz w:val="24"/>
          <w:szCs w:val="24"/>
        </w:rPr>
        <w:t>rogram</w:t>
      </w:r>
      <w:r w:rsidR="00565ACC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57184D">
        <w:rPr>
          <w:rFonts w:eastAsia="Times New Roman" w:cs="Times New Roman"/>
          <w:b/>
          <w:bCs/>
          <w:color w:val="003366"/>
          <w:sz w:val="24"/>
          <w:szCs w:val="24"/>
        </w:rPr>
        <w:t>/</w:t>
      </w:r>
      <w:r w:rsidR="00565ACC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57184D">
        <w:rPr>
          <w:rFonts w:eastAsia="Times New Roman" w:cs="Times New Roman"/>
          <w:b/>
          <w:bCs/>
          <w:color w:val="003366"/>
          <w:sz w:val="24"/>
          <w:szCs w:val="24"/>
        </w:rPr>
        <w:t>Fiscal</w:t>
      </w:r>
      <w:r w:rsidR="00565ACC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  <w:r w:rsidR="00DB65C6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Monitoring Report </w:t>
      </w:r>
      <w:r w:rsidR="00B5452C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7942E6" w:rsidRPr="00A51670" w:rsidRDefault="004E0CEE" w:rsidP="007942E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 report.</w:t>
      </w:r>
      <w:r w:rsidR="007942E6" w:rsidRPr="00A51670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33FDD" w:rsidRPr="0057184D" w:rsidRDefault="00333FDD" w:rsidP="008C41E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C41E2" w:rsidRPr="0057184D" w:rsidRDefault="004E0CEE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Board Appointments Update</w:t>
      </w:r>
      <w:r w:rsidR="008C41E2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4E0CEE" w:rsidRPr="00505961" w:rsidRDefault="00CE16BC" w:rsidP="00DD774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7184D">
        <w:rPr>
          <w:rFonts w:eastAsia="Times New Roman" w:cs="Times New Roman"/>
          <w:sz w:val="24"/>
          <w:szCs w:val="24"/>
        </w:rPr>
        <w:t xml:space="preserve">Tony </w:t>
      </w:r>
      <w:r w:rsidR="004E0CEE">
        <w:rPr>
          <w:rFonts w:eastAsia="Times New Roman" w:cs="Times New Roman"/>
          <w:sz w:val="24"/>
          <w:szCs w:val="24"/>
        </w:rPr>
        <w:t xml:space="preserve">Logue </w:t>
      </w:r>
      <w:r w:rsidR="00DD7747">
        <w:rPr>
          <w:rFonts w:eastAsia="Times New Roman" w:cs="Times New Roman"/>
          <w:sz w:val="24"/>
          <w:szCs w:val="24"/>
        </w:rPr>
        <w:t>stated</w:t>
      </w:r>
      <w:r w:rsidR="001B1DD0">
        <w:rPr>
          <w:rFonts w:eastAsia="Times New Roman" w:cs="Times New Roman"/>
          <w:sz w:val="24"/>
          <w:szCs w:val="24"/>
        </w:rPr>
        <w:t xml:space="preserve"> that there are several replacements on the Board as well as 2 members not being replaced.  As of the October 1</w:t>
      </w:r>
      <w:r w:rsidR="001B1DD0" w:rsidRPr="001B1DD0">
        <w:rPr>
          <w:rFonts w:eastAsia="Times New Roman" w:cs="Times New Roman"/>
          <w:sz w:val="24"/>
          <w:szCs w:val="24"/>
          <w:vertAlign w:val="superscript"/>
        </w:rPr>
        <w:t>st</w:t>
      </w:r>
      <w:r w:rsidR="001B1DD0">
        <w:rPr>
          <w:rFonts w:eastAsia="Times New Roman" w:cs="Times New Roman"/>
          <w:sz w:val="24"/>
          <w:szCs w:val="24"/>
        </w:rPr>
        <w:t xml:space="preserve"> certification, we will be at the bare minimum for our required 51% business members with 26 Board members, so if anyone gets added, we will have to add a counterpart from the public or private sector to keep the balance in place.  </w:t>
      </w:r>
    </w:p>
    <w:p w:rsidR="00565ACC" w:rsidRPr="0057184D" w:rsidRDefault="00565ACC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AF05F2" w:rsidRPr="0057184D" w:rsidRDefault="00326624" w:rsidP="00507F85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O</w:t>
      </w:r>
      <w:r w:rsidR="00C022DF"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ther </w:t>
      </w:r>
      <w:r w:rsidR="00507F85" w:rsidRPr="0057184D">
        <w:rPr>
          <w:rFonts w:eastAsia="Times New Roman" w:cs="Times New Roman"/>
          <w:b/>
          <w:bCs/>
          <w:color w:val="003366"/>
          <w:sz w:val="24"/>
          <w:szCs w:val="24"/>
        </w:rPr>
        <w:t>Business</w:t>
      </w:r>
    </w:p>
    <w:p w:rsidR="001C4601" w:rsidRPr="0057184D" w:rsidRDefault="004E0CEE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None.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57184D">
        <w:rPr>
          <w:rFonts w:eastAsia="Times New Roman" w:cs="Times New Roman"/>
          <w:color w:val="003366"/>
          <w:sz w:val="24"/>
          <w:szCs w:val="24"/>
        </w:rPr>
        <w:t> </w:t>
      </w:r>
    </w:p>
    <w:p w:rsidR="00503318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>Date and Time Next Meeting:</w:t>
      </w:r>
      <w:r w:rsidRPr="0057184D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6140F" w:rsidRPr="0057184D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C022DF" w:rsidRPr="0057184D">
        <w:rPr>
          <w:rFonts w:eastAsia="Times New Roman" w:cs="Times New Roman"/>
          <w:color w:val="000000"/>
          <w:sz w:val="24"/>
          <w:szCs w:val="24"/>
        </w:rPr>
        <w:t>&amp;</w:t>
      </w:r>
      <w:r w:rsidR="00B6140F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 w:rsidRPr="0057184D">
        <w:rPr>
          <w:rFonts w:eastAsia="Times New Roman" w:cs="Times New Roman"/>
          <w:color w:val="000000"/>
          <w:sz w:val="24"/>
          <w:szCs w:val="24"/>
        </w:rPr>
        <w:t xml:space="preserve">Oversight meeting will be </w:t>
      </w:r>
      <w:r w:rsidR="004E0CEE">
        <w:rPr>
          <w:rFonts w:eastAsia="Times New Roman" w:cs="Times New Roman"/>
          <w:color w:val="000000"/>
          <w:sz w:val="24"/>
          <w:szCs w:val="24"/>
        </w:rPr>
        <w:t>December 8</w:t>
      </w:r>
      <w:r w:rsidR="00CE16BC" w:rsidRPr="0057184D">
        <w:rPr>
          <w:rFonts w:eastAsia="Times New Roman" w:cs="Times New Roman"/>
          <w:color w:val="000000"/>
          <w:sz w:val="24"/>
          <w:szCs w:val="24"/>
        </w:rPr>
        <w:t>, 2022 at</w:t>
      </w:r>
      <w:r w:rsidR="00BF269F" w:rsidRPr="0057184D">
        <w:rPr>
          <w:rFonts w:eastAsia="Times New Roman" w:cs="Times New Roman"/>
          <w:color w:val="000000"/>
          <w:sz w:val="24"/>
          <w:szCs w:val="24"/>
        </w:rPr>
        <w:t xml:space="preserve"> 4:30 pm</w:t>
      </w:r>
      <w:r w:rsidR="002E55B8" w:rsidRPr="0057184D">
        <w:rPr>
          <w:rFonts w:eastAsia="Times New Roman" w:cs="Times New Roman"/>
          <w:color w:val="000000"/>
          <w:sz w:val="24"/>
          <w:szCs w:val="24"/>
        </w:rPr>
        <w:t>.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color w:val="003366"/>
          <w:sz w:val="24"/>
          <w:szCs w:val="24"/>
        </w:rPr>
        <w:t> </w:t>
      </w:r>
    </w:p>
    <w:p w:rsidR="00DB65C6" w:rsidRPr="0057184D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 - </w:t>
      </w:r>
      <w:r w:rsidR="00AF05F2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B65C6" w:rsidRPr="0057184D" w:rsidRDefault="00B803EB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7184D">
        <w:rPr>
          <w:rFonts w:eastAsia="Times New Roman" w:cs="Times New Roman"/>
          <w:sz w:val="24"/>
          <w:szCs w:val="24"/>
        </w:rPr>
        <w:t>None</w:t>
      </w:r>
      <w:r w:rsidR="00087D0F" w:rsidRPr="0057184D">
        <w:rPr>
          <w:rFonts w:eastAsia="Times New Roman" w:cs="Times New Roman"/>
          <w:sz w:val="24"/>
          <w:szCs w:val="24"/>
        </w:rPr>
        <w:t>.</w:t>
      </w:r>
    </w:p>
    <w:p w:rsidR="00BF269F" w:rsidRPr="0057184D" w:rsidRDefault="00BF269F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57184D">
        <w:rPr>
          <w:rFonts w:eastAsia="Times New Roman" w:cs="Times New Roman"/>
          <w:b/>
          <w:bCs/>
          <w:color w:val="003366"/>
          <w:sz w:val="24"/>
          <w:szCs w:val="24"/>
        </w:rPr>
        <w:t xml:space="preserve">Motion to Adjourn: </w:t>
      </w:r>
      <w:r w:rsidR="009D16E0" w:rsidRPr="0057184D">
        <w:rPr>
          <w:rFonts w:eastAsia="Times New Roman" w:cs="Times New Roman"/>
          <w:color w:val="000000"/>
          <w:sz w:val="24"/>
          <w:szCs w:val="24"/>
        </w:rPr>
        <w:t xml:space="preserve">Meeting was adjourned at </w:t>
      </w:r>
      <w:r w:rsidR="00F7216D" w:rsidRPr="001B1DD0">
        <w:rPr>
          <w:rFonts w:eastAsia="Times New Roman" w:cs="Times New Roman"/>
          <w:color w:val="000000"/>
          <w:sz w:val="24"/>
          <w:szCs w:val="24"/>
        </w:rPr>
        <w:t>5:</w:t>
      </w:r>
      <w:r w:rsidR="001B1DD0" w:rsidRPr="001B1DD0">
        <w:rPr>
          <w:rFonts w:eastAsia="Times New Roman" w:cs="Times New Roman"/>
          <w:color w:val="000000"/>
          <w:sz w:val="24"/>
          <w:szCs w:val="24"/>
        </w:rPr>
        <w:t>03</w:t>
      </w:r>
      <w:r w:rsidR="00A74443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C4676" w:rsidRPr="0057184D">
        <w:rPr>
          <w:rFonts w:eastAsia="Times New Roman" w:cs="Times New Roman"/>
          <w:color w:val="000000"/>
          <w:sz w:val="24"/>
          <w:szCs w:val="24"/>
        </w:rPr>
        <w:t>pm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571067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1DD0">
        <w:rPr>
          <w:rFonts w:eastAsia="Times New Roman" w:cs="Times New Roman"/>
          <w:color w:val="000000"/>
          <w:sz w:val="24"/>
          <w:szCs w:val="24"/>
        </w:rPr>
        <w:t>Jeff Voigt</w:t>
      </w:r>
      <w:r w:rsidR="00F7216D">
        <w:rPr>
          <w:rFonts w:eastAsia="Times New Roman" w:cs="Times New Roman"/>
          <w:color w:val="000000"/>
          <w:sz w:val="24"/>
          <w:szCs w:val="24"/>
        </w:rPr>
        <w:t xml:space="preserve"> m</w:t>
      </w:r>
      <w:r w:rsidRPr="0057184D">
        <w:rPr>
          <w:rFonts w:eastAsia="Times New Roman" w:cs="Times New Roman"/>
          <w:color w:val="000000"/>
          <w:sz w:val="24"/>
          <w:szCs w:val="24"/>
        </w:rPr>
        <w:t>ade the motion,</w:t>
      </w:r>
      <w:r w:rsidR="00507A55" w:rsidRPr="0057184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1DD0">
        <w:rPr>
          <w:rFonts w:eastAsia="Times New Roman" w:cs="Times New Roman"/>
          <w:color w:val="000000"/>
          <w:sz w:val="24"/>
          <w:szCs w:val="24"/>
        </w:rPr>
        <w:t>Mike Conrad</w:t>
      </w:r>
      <w:r w:rsidR="00571067" w:rsidRPr="0057184D">
        <w:rPr>
          <w:rFonts w:eastAsia="Times New Roman" w:cs="Times New Roman"/>
          <w:color w:val="000000"/>
          <w:sz w:val="24"/>
          <w:szCs w:val="24"/>
        </w:rPr>
        <w:t xml:space="preserve"> seconded. </w:t>
      </w:r>
      <w:r w:rsidRPr="0057184D">
        <w:rPr>
          <w:rFonts w:eastAsia="Times New Roman" w:cs="Times New Roman"/>
          <w:color w:val="000000"/>
          <w:sz w:val="24"/>
          <w:szCs w:val="24"/>
        </w:rPr>
        <w:t xml:space="preserve"> Motion Carried.</w:t>
      </w:r>
    </w:p>
    <w:sectPr w:rsidR="00DB65C6" w:rsidRPr="00A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61" w:rsidRDefault="00505961" w:rsidP="00505961">
      <w:pPr>
        <w:spacing w:after="0" w:line="240" w:lineRule="auto"/>
      </w:pPr>
      <w:r>
        <w:separator/>
      </w:r>
    </w:p>
  </w:endnote>
  <w:endnote w:type="continuationSeparator" w:id="0">
    <w:p w:rsidR="00505961" w:rsidRDefault="00505961" w:rsidP="005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61" w:rsidRDefault="00505961" w:rsidP="00505961">
      <w:pPr>
        <w:spacing w:after="0" w:line="240" w:lineRule="auto"/>
      </w:pPr>
      <w:r>
        <w:separator/>
      </w:r>
    </w:p>
  </w:footnote>
  <w:footnote w:type="continuationSeparator" w:id="0">
    <w:p w:rsidR="00505961" w:rsidRDefault="00505961" w:rsidP="0050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B1F"/>
    <w:multiLevelType w:val="hybridMultilevel"/>
    <w:tmpl w:val="806C5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7520B4"/>
    <w:multiLevelType w:val="hybridMultilevel"/>
    <w:tmpl w:val="C8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9A2"/>
    <w:multiLevelType w:val="multilevel"/>
    <w:tmpl w:val="C48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A3500A"/>
    <w:multiLevelType w:val="hybridMultilevel"/>
    <w:tmpl w:val="A006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6"/>
    <w:rsid w:val="00005C3C"/>
    <w:rsid w:val="00011453"/>
    <w:rsid w:val="0001359F"/>
    <w:rsid w:val="00026615"/>
    <w:rsid w:val="00040B0A"/>
    <w:rsid w:val="00045C29"/>
    <w:rsid w:val="00046565"/>
    <w:rsid w:val="0006390B"/>
    <w:rsid w:val="00071338"/>
    <w:rsid w:val="00072347"/>
    <w:rsid w:val="00073BCD"/>
    <w:rsid w:val="00082841"/>
    <w:rsid w:val="00087D0F"/>
    <w:rsid w:val="00094FB6"/>
    <w:rsid w:val="000B07BE"/>
    <w:rsid w:val="000B6F1E"/>
    <w:rsid w:val="000D60A9"/>
    <w:rsid w:val="000D62DF"/>
    <w:rsid w:val="000E021B"/>
    <w:rsid w:val="000E0FD1"/>
    <w:rsid w:val="000E3655"/>
    <w:rsid w:val="000F2065"/>
    <w:rsid w:val="000F33B8"/>
    <w:rsid w:val="00127A80"/>
    <w:rsid w:val="00132AB1"/>
    <w:rsid w:val="0015794D"/>
    <w:rsid w:val="00162DFB"/>
    <w:rsid w:val="00181E3F"/>
    <w:rsid w:val="00182E61"/>
    <w:rsid w:val="00183C6E"/>
    <w:rsid w:val="001949F2"/>
    <w:rsid w:val="001967CD"/>
    <w:rsid w:val="001B1DD0"/>
    <w:rsid w:val="001B2CF1"/>
    <w:rsid w:val="001C0707"/>
    <w:rsid w:val="001C2A05"/>
    <w:rsid w:val="001C4601"/>
    <w:rsid w:val="001F7626"/>
    <w:rsid w:val="00203AF5"/>
    <w:rsid w:val="00234E8E"/>
    <w:rsid w:val="0023563C"/>
    <w:rsid w:val="00245DC8"/>
    <w:rsid w:val="002617BC"/>
    <w:rsid w:val="00265E98"/>
    <w:rsid w:val="0027278E"/>
    <w:rsid w:val="0028382C"/>
    <w:rsid w:val="00290822"/>
    <w:rsid w:val="00292691"/>
    <w:rsid w:val="002A4E7D"/>
    <w:rsid w:val="002B58EB"/>
    <w:rsid w:val="002E55B8"/>
    <w:rsid w:val="00317C0D"/>
    <w:rsid w:val="00326624"/>
    <w:rsid w:val="00333FDD"/>
    <w:rsid w:val="00341250"/>
    <w:rsid w:val="003423D0"/>
    <w:rsid w:val="00372EFA"/>
    <w:rsid w:val="00385A83"/>
    <w:rsid w:val="003A1836"/>
    <w:rsid w:val="003A3E3D"/>
    <w:rsid w:val="003D1882"/>
    <w:rsid w:val="003D615F"/>
    <w:rsid w:val="003E7183"/>
    <w:rsid w:val="003F3114"/>
    <w:rsid w:val="003F3252"/>
    <w:rsid w:val="003F39EA"/>
    <w:rsid w:val="003F5C9F"/>
    <w:rsid w:val="004051E4"/>
    <w:rsid w:val="00412571"/>
    <w:rsid w:val="0041286E"/>
    <w:rsid w:val="00426D3F"/>
    <w:rsid w:val="004270B3"/>
    <w:rsid w:val="00434292"/>
    <w:rsid w:val="004352D6"/>
    <w:rsid w:val="00447221"/>
    <w:rsid w:val="00480AE4"/>
    <w:rsid w:val="00490AE4"/>
    <w:rsid w:val="004C3170"/>
    <w:rsid w:val="004E0CEE"/>
    <w:rsid w:val="004F22CF"/>
    <w:rsid w:val="00503318"/>
    <w:rsid w:val="00505961"/>
    <w:rsid w:val="00507A55"/>
    <w:rsid w:val="00507F85"/>
    <w:rsid w:val="005172B9"/>
    <w:rsid w:val="00540790"/>
    <w:rsid w:val="00550D14"/>
    <w:rsid w:val="00556C84"/>
    <w:rsid w:val="00565ACC"/>
    <w:rsid w:val="00571067"/>
    <w:rsid w:val="0057184D"/>
    <w:rsid w:val="00576DF1"/>
    <w:rsid w:val="00587D97"/>
    <w:rsid w:val="006137CB"/>
    <w:rsid w:val="00627481"/>
    <w:rsid w:val="00660EFE"/>
    <w:rsid w:val="00685883"/>
    <w:rsid w:val="0068727A"/>
    <w:rsid w:val="006A4815"/>
    <w:rsid w:val="006A4A0F"/>
    <w:rsid w:val="006A6A5A"/>
    <w:rsid w:val="006B7B85"/>
    <w:rsid w:val="006C3218"/>
    <w:rsid w:val="006D7BB3"/>
    <w:rsid w:val="00707EEC"/>
    <w:rsid w:val="00714824"/>
    <w:rsid w:val="0075283B"/>
    <w:rsid w:val="00774A04"/>
    <w:rsid w:val="00782128"/>
    <w:rsid w:val="007917B2"/>
    <w:rsid w:val="007942E6"/>
    <w:rsid w:val="007B79DA"/>
    <w:rsid w:val="007B7C36"/>
    <w:rsid w:val="007D1025"/>
    <w:rsid w:val="007F78B2"/>
    <w:rsid w:val="00815979"/>
    <w:rsid w:val="008333B5"/>
    <w:rsid w:val="00845E87"/>
    <w:rsid w:val="008667B2"/>
    <w:rsid w:val="0088647C"/>
    <w:rsid w:val="0089097C"/>
    <w:rsid w:val="008B03D7"/>
    <w:rsid w:val="008B4AD2"/>
    <w:rsid w:val="008C41E2"/>
    <w:rsid w:val="008E7C1E"/>
    <w:rsid w:val="009B373E"/>
    <w:rsid w:val="009B46E4"/>
    <w:rsid w:val="009C2EBD"/>
    <w:rsid w:val="009C4676"/>
    <w:rsid w:val="009D16E0"/>
    <w:rsid w:val="009E3650"/>
    <w:rsid w:val="009F1BAC"/>
    <w:rsid w:val="00A17B27"/>
    <w:rsid w:val="00A2682A"/>
    <w:rsid w:val="00A33395"/>
    <w:rsid w:val="00A405B6"/>
    <w:rsid w:val="00A51670"/>
    <w:rsid w:val="00A56992"/>
    <w:rsid w:val="00A57724"/>
    <w:rsid w:val="00A74443"/>
    <w:rsid w:val="00A75D59"/>
    <w:rsid w:val="00A86650"/>
    <w:rsid w:val="00A97E70"/>
    <w:rsid w:val="00AD75EA"/>
    <w:rsid w:val="00AE245C"/>
    <w:rsid w:val="00AF05F2"/>
    <w:rsid w:val="00B457BD"/>
    <w:rsid w:val="00B5452C"/>
    <w:rsid w:val="00B54840"/>
    <w:rsid w:val="00B559F3"/>
    <w:rsid w:val="00B57C0D"/>
    <w:rsid w:val="00B6140F"/>
    <w:rsid w:val="00B639B6"/>
    <w:rsid w:val="00B63FFF"/>
    <w:rsid w:val="00B76853"/>
    <w:rsid w:val="00B803EB"/>
    <w:rsid w:val="00B83DB6"/>
    <w:rsid w:val="00BC3FC6"/>
    <w:rsid w:val="00BD46A6"/>
    <w:rsid w:val="00BE557A"/>
    <w:rsid w:val="00BF269F"/>
    <w:rsid w:val="00C022DF"/>
    <w:rsid w:val="00C03944"/>
    <w:rsid w:val="00C055D9"/>
    <w:rsid w:val="00C11334"/>
    <w:rsid w:val="00C11E0F"/>
    <w:rsid w:val="00C971A1"/>
    <w:rsid w:val="00CA15DE"/>
    <w:rsid w:val="00CA705D"/>
    <w:rsid w:val="00CD47A5"/>
    <w:rsid w:val="00CE16BC"/>
    <w:rsid w:val="00CE4340"/>
    <w:rsid w:val="00D1102C"/>
    <w:rsid w:val="00D1404B"/>
    <w:rsid w:val="00D45D38"/>
    <w:rsid w:val="00D50E2D"/>
    <w:rsid w:val="00D60926"/>
    <w:rsid w:val="00D725D1"/>
    <w:rsid w:val="00D728B5"/>
    <w:rsid w:val="00D8729B"/>
    <w:rsid w:val="00D92ECB"/>
    <w:rsid w:val="00DB65C6"/>
    <w:rsid w:val="00DC28BD"/>
    <w:rsid w:val="00DD478C"/>
    <w:rsid w:val="00DD7747"/>
    <w:rsid w:val="00E05E5D"/>
    <w:rsid w:val="00E100D6"/>
    <w:rsid w:val="00E12513"/>
    <w:rsid w:val="00E364E3"/>
    <w:rsid w:val="00E368AD"/>
    <w:rsid w:val="00E43A8E"/>
    <w:rsid w:val="00E64CB5"/>
    <w:rsid w:val="00E7383A"/>
    <w:rsid w:val="00E84B22"/>
    <w:rsid w:val="00E876C5"/>
    <w:rsid w:val="00EA48E7"/>
    <w:rsid w:val="00EE23E7"/>
    <w:rsid w:val="00EE2B20"/>
    <w:rsid w:val="00F1355F"/>
    <w:rsid w:val="00F161BD"/>
    <w:rsid w:val="00F32B52"/>
    <w:rsid w:val="00F4515F"/>
    <w:rsid w:val="00F679E0"/>
    <w:rsid w:val="00F71F38"/>
    <w:rsid w:val="00F7216D"/>
    <w:rsid w:val="00FA71BF"/>
    <w:rsid w:val="00FB667A"/>
    <w:rsid w:val="00FC0053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5C6C"/>
  <w15:chartTrackingRefBased/>
  <w15:docId w15:val="{DDC56422-AC7A-4A54-8307-D6C4587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961"/>
  </w:style>
  <w:style w:type="paragraph" w:styleId="Footer">
    <w:name w:val="footer"/>
    <w:basedOn w:val="Normal"/>
    <w:link w:val="FooterChar"/>
    <w:uiPriority w:val="99"/>
    <w:unhideWhenUsed/>
    <w:rsid w:val="005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2022-06-21T19:48:00Z</cp:lastPrinted>
  <dcterms:created xsi:type="dcterms:W3CDTF">2022-09-14T20:26:00Z</dcterms:created>
  <dcterms:modified xsi:type="dcterms:W3CDTF">2022-09-16T19:11:00Z</dcterms:modified>
</cp:coreProperties>
</file>